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72" w:rsidRPr="009C3E72" w:rsidRDefault="009C3E72" w:rsidP="009C3E72">
      <w:r>
        <w:t>Vous trouverez ci-dessous 4 graphiques qui résument la situation chiffrée du comité de l’Ain de badminton depuis la saison 1996/1997. Ces chiffres nous sont communiqués par la FFBAD chaque saison.</w:t>
      </w:r>
      <w:bookmarkStart w:id="0" w:name="_GoBack"/>
      <w:bookmarkEnd w:id="0"/>
    </w:p>
    <w:p w:rsidR="009C3E72" w:rsidRPr="009C3E72" w:rsidRDefault="009C3E72" w:rsidP="009C3E72"/>
    <w:p w:rsidR="009C3E72" w:rsidRPr="009C3E72" w:rsidRDefault="009C3E72" w:rsidP="009C3E72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5A8D22E" wp14:editId="5894046D">
            <wp:simplePos x="0" y="0"/>
            <wp:positionH relativeFrom="column">
              <wp:posOffset>2233930</wp:posOffset>
            </wp:positionH>
            <wp:positionV relativeFrom="paragraph">
              <wp:posOffset>255905</wp:posOffset>
            </wp:positionV>
            <wp:extent cx="4154805" cy="2743200"/>
            <wp:effectExtent l="0" t="0" r="17145" b="19050"/>
            <wp:wrapNone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E72" w:rsidRPr="009C3E72" w:rsidRDefault="009C3E72" w:rsidP="009C3E72"/>
    <w:p w:rsidR="009C3E72" w:rsidRPr="009C3E72" w:rsidRDefault="009C3E72" w:rsidP="009C3E72"/>
    <w:p w:rsidR="009C3E72" w:rsidRPr="009C3E72" w:rsidRDefault="009C3E72" w:rsidP="009C3E72"/>
    <w:p w:rsidR="009C3E72" w:rsidRPr="009C3E72" w:rsidRDefault="009C3E72" w:rsidP="009C3E72"/>
    <w:p w:rsidR="009C3E72" w:rsidRPr="009C3E72" w:rsidRDefault="009C3E72" w:rsidP="009C3E72"/>
    <w:p w:rsidR="009C3E72" w:rsidRPr="009C3E72" w:rsidRDefault="009C3E72" w:rsidP="009C3E72"/>
    <w:p w:rsidR="009C3E72" w:rsidRPr="009C3E72" w:rsidRDefault="009C3E72" w:rsidP="009C3E72"/>
    <w:p w:rsidR="009C3E72" w:rsidRPr="009C3E72" w:rsidRDefault="009C3E72" w:rsidP="009C3E72"/>
    <w:p w:rsidR="009C3E72" w:rsidRPr="009C3E72" w:rsidRDefault="009C3E72" w:rsidP="009C3E72"/>
    <w:p w:rsidR="009C3E72" w:rsidRPr="009C3E72" w:rsidRDefault="009C3E72" w:rsidP="009C3E72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9B74982" wp14:editId="778BB712">
            <wp:simplePos x="0" y="0"/>
            <wp:positionH relativeFrom="column">
              <wp:posOffset>-747395</wp:posOffset>
            </wp:positionH>
            <wp:positionV relativeFrom="paragraph">
              <wp:posOffset>62865</wp:posOffset>
            </wp:positionV>
            <wp:extent cx="4119245" cy="2743200"/>
            <wp:effectExtent l="0" t="0" r="14605" b="19050"/>
            <wp:wrapNone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E72" w:rsidRPr="009C3E72" w:rsidRDefault="009C3E72" w:rsidP="009C3E72"/>
    <w:p w:rsidR="009C3E72" w:rsidRPr="009C3E72" w:rsidRDefault="009C3E72" w:rsidP="009C3E72"/>
    <w:p w:rsidR="009C3E72" w:rsidRPr="009C3E72" w:rsidRDefault="009C3E72" w:rsidP="009C3E72"/>
    <w:p w:rsidR="009C3E72" w:rsidRPr="009C3E72" w:rsidRDefault="009C3E72" w:rsidP="009C3E72"/>
    <w:p w:rsidR="009C3E72" w:rsidRPr="009C3E72" w:rsidRDefault="009C3E72" w:rsidP="009C3E72"/>
    <w:p w:rsidR="009C3E72" w:rsidRPr="009C3E72" w:rsidRDefault="009C3E72" w:rsidP="009C3E72"/>
    <w:p w:rsidR="009C3E72" w:rsidRPr="009C3E72" w:rsidRDefault="009C3E72" w:rsidP="009C3E72"/>
    <w:p w:rsidR="009C3E72" w:rsidRPr="009C3E72" w:rsidRDefault="009C3E72" w:rsidP="009C3E72"/>
    <w:p w:rsidR="009C3E72" w:rsidRPr="009C3E72" w:rsidRDefault="009C3E72" w:rsidP="009C3E72"/>
    <w:p w:rsidR="009C3E72" w:rsidRPr="009C3E72" w:rsidRDefault="009C3E72" w:rsidP="009C3E72"/>
    <w:p w:rsidR="009C3E72" w:rsidRPr="009C3E72" w:rsidRDefault="009C3E72" w:rsidP="009C3E72"/>
    <w:p w:rsidR="009C3E72" w:rsidRDefault="009C3E72" w:rsidP="009C3E72"/>
    <w:p w:rsidR="00F0341C" w:rsidRPr="009C3E72" w:rsidRDefault="009C3E72" w:rsidP="009C3E72">
      <w:r>
        <w:br w:type="page"/>
      </w:r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1" locked="0" layoutInCell="1" allowOverlap="1" wp14:anchorId="5A0DDC13" wp14:editId="60C09F44">
            <wp:simplePos x="0" y="0"/>
            <wp:positionH relativeFrom="column">
              <wp:posOffset>-823595</wp:posOffset>
            </wp:positionH>
            <wp:positionV relativeFrom="paragraph">
              <wp:posOffset>3034030</wp:posOffset>
            </wp:positionV>
            <wp:extent cx="5972810" cy="2682875"/>
            <wp:effectExtent l="0" t="0" r="27940" b="22225"/>
            <wp:wrapNone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547FF3D" wp14:editId="26178AE6">
            <wp:simplePos x="0" y="0"/>
            <wp:positionH relativeFrom="column">
              <wp:posOffset>1862455</wp:posOffset>
            </wp:positionH>
            <wp:positionV relativeFrom="paragraph">
              <wp:posOffset>-490220</wp:posOffset>
            </wp:positionV>
            <wp:extent cx="4572000" cy="2743200"/>
            <wp:effectExtent l="0" t="0" r="19050" b="19050"/>
            <wp:wrapNone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341C" w:rsidRPr="009C3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72"/>
    <w:rsid w:val="00714FCB"/>
    <w:rsid w:val="009C3E72"/>
    <w:rsid w:val="00B23BDE"/>
    <w:rsid w:val="00B95AF4"/>
    <w:rsid w:val="00EF2D67"/>
    <w:rsid w:val="00F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toine\Documents\badminton\codep%2001\chiffres%20codep%200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toine\Documents\badminton\codep%2001\chiffres%20codep%200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toine\Documents\badminton\codep%2001\chiffres%20codep%200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toine\Documents\badminton\codep%2001\chiffres%20codep%20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évolution licenciés</c:v>
          </c:tx>
          <c:invertIfNegative val="0"/>
          <c:dLbls>
            <c:delete val="1"/>
          </c:dLbls>
          <c:cat>
            <c:strRef>
              <c:f>Feuil1!$A$2:$A$19</c:f>
              <c:strCache>
                <c:ptCount val="18"/>
                <c:pt idx="0">
                  <c:v>1996/1997</c:v>
                </c:pt>
                <c:pt idx="1">
                  <c:v>1997/1998</c:v>
                </c:pt>
                <c:pt idx="2">
                  <c:v>1998/1999</c:v>
                </c:pt>
                <c:pt idx="3">
                  <c:v>1999/2000</c:v>
                </c:pt>
                <c:pt idx="4">
                  <c:v>2000/2001</c:v>
                </c:pt>
                <c:pt idx="5">
                  <c:v>2001/2002</c:v>
                </c:pt>
                <c:pt idx="6">
                  <c:v>2002/2003</c:v>
                </c:pt>
                <c:pt idx="7">
                  <c:v>2003/2004</c:v>
                </c:pt>
                <c:pt idx="8">
                  <c:v>2004/2005</c:v>
                </c:pt>
                <c:pt idx="9">
                  <c:v>2005/2006</c:v>
                </c:pt>
                <c:pt idx="10">
                  <c:v>2006/2007</c:v>
                </c:pt>
                <c:pt idx="11">
                  <c:v>2007/2008</c:v>
                </c:pt>
                <c:pt idx="12">
                  <c:v>2008/2009</c:v>
                </c:pt>
                <c:pt idx="13">
                  <c:v>2009/2010</c:v>
                </c:pt>
                <c:pt idx="14">
                  <c:v>2010/2011</c:v>
                </c:pt>
                <c:pt idx="15">
                  <c:v>2011/2012</c:v>
                </c:pt>
                <c:pt idx="16">
                  <c:v>2012/2013</c:v>
                </c:pt>
                <c:pt idx="17">
                  <c:v>2013/2014</c:v>
                </c:pt>
              </c:strCache>
            </c:strRef>
          </c:cat>
          <c:val>
            <c:numRef>
              <c:f>Feuil1!$B$2:$B$19</c:f>
              <c:numCache>
                <c:formatCode>General</c:formatCode>
                <c:ptCount val="18"/>
                <c:pt idx="0">
                  <c:v>405</c:v>
                </c:pt>
                <c:pt idx="1">
                  <c:v>580</c:v>
                </c:pt>
                <c:pt idx="2">
                  <c:v>627</c:v>
                </c:pt>
                <c:pt idx="3">
                  <c:v>660</c:v>
                </c:pt>
                <c:pt idx="4">
                  <c:v>755</c:v>
                </c:pt>
                <c:pt idx="5">
                  <c:v>901</c:v>
                </c:pt>
                <c:pt idx="6">
                  <c:v>853</c:v>
                </c:pt>
                <c:pt idx="7">
                  <c:v>845</c:v>
                </c:pt>
                <c:pt idx="8">
                  <c:v>945</c:v>
                </c:pt>
                <c:pt idx="9">
                  <c:v>1062</c:v>
                </c:pt>
                <c:pt idx="10">
                  <c:v>1105</c:v>
                </c:pt>
                <c:pt idx="11">
                  <c:v>1083</c:v>
                </c:pt>
                <c:pt idx="12">
                  <c:v>1362</c:v>
                </c:pt>
                <c:pt idx="13">
                  <c:v>1400</c:v>
                </c:pt>
                <c:pt idx="14">
                  <c:v>1573</c:v>
                </c:pt>
                <c:pt idx="15">
                  <c:v>1679</c:v>
                </c:pt>
                <c:pt idx="16">
                  <c:v>1795</c:v>
                </c:pt>
                <c:pt idx="17">
                  <c:v>1660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8267392"/>
        <c:axId val="125147008"/>
      </c:barChart>
      <c:catAx>
        <c:axId val="682673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25147008"/>
        <c:crosses val="autoZero"/>
        <c:auto val="1"/>
        <c:lblAlgn val="ctr"/>
        <c:lblOffset val="100"/>
        <c:noMultiLvlLbl val="0"/>
      </c:catAx>
      <c:valAx>
        <c:axId val="1251470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82673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répartition</a:t>
            </a:r>
            <a:r>
              <a:rPr lang="fr-FR" baseline="0"/>
              <a:t> des licenciés par sexe</a:t>
            </a:r>
            <a:endParaRPr lang="fr-FR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217635830259911"/>
          <c:y val="0.29653944298629337"/>
          <c:w val="0.84009488914509223"/>
          <c:h val="0.34712051618547679"/>
        </c:manualLayout>
      </c:layout>
      <c:bar3DChart>
        <c:barDir val="col"/>
        <c:grouping val="clustered"/>
        <c:varyColors val="0"/>
        <c:ser>
          <c:idx val="0"/>
          <c:order val="0"/>
          <c:tx>
            <c:v>total</c:v>
          </c:tx>
          <c:invertIfNegative val="0"/>
          <c:cat>
            <c:strRef>
              <c:f>Feuil1!$A$2:$A$19</c:f>
              <c:strCache>
                <c:ptCount val="18"/>
                <c:pt idx="0">
                  <c:v>1996/1997</c:v>
                </c:pt>
                <c:pt idx="1">
                  <c:v>1997/1998</c:v>
                </c:pt>
                <c:pt idx="2">
                  <c:v>1998/1999</c:v>
                </c:pt>
                <c:pt idx="3">
                  <c:v>1999/2000</c:v>
                </c:pt>
                <c:pt idx="4">
                  <c:v>2000/2001</c:v>
                </c:pt>
                <c:pt idx="5">
                  <c:v>2001/2002</c:v>
                </c:pt>
                <c:pt idx="6">
                  <c:v>2002/2003</c:v>
                </c:pt>
                <c:pt idx="7">
                  <c:v>2003/2004</c:v>
                </c:pt>
                <c:pt idx="8">
                  <c:v>2004/2005</c:v>
                </c:pt>
                <c:pt idx="9">
                  <c:v>2005/2006</c:v>
                </c:pt>
                <c:pt idx="10">
                  <c:v>2006/2007</c:v>
                </c:pt>
                <c:pt idx="11">
                  <c:v>2007/2008</c:v>
                </c:pt>
                <c:pt idx="12">
                  <c:v>2008/2009</c:v>
                </c:pt>
                <c:pt idx="13">
                  <c:v>2009/2010</c:v>
                </c:pt>
                <c:pt idx="14">
                  <c:v>2010/2011</c:v>
                </c:pt>
                <c:pt idx="15">
                  <c:v>2011/2012</c:v>
                </c:pt>
                <c:pt idx="16">
                  <c:v>2012/2013</c:v>
                </c:pt>
                <c:pt idx="17">
                  <c:v>2013/2014</c:v>
                </c:pt>
              </c:strCache>
            </c:strRef>
          </c:cat>
          <c:val>
            <c:numRef>
              <c:f>Feuil1!$B$2:$B$19</c:f>
              <c:numCache>
                <c:formatCode>General</c:formatCode>
                <c:ptCount val="18"/>
                <c:pt idx="0">
                  <c:v>405</c:v>
                </c:pt>
                <c:pt idx="1">
                  <c:v>580</c:v>
                </c:pt>
                <c:pt idx="2">
                  <c:v>627</c:v>
                </c:pt>
                <c:pt idx="3">
                  <c:v>660</c:v>
                </c:pt>
                <c:pt idx="4">
                  <c:v>755</c:v>
                </c:pt>
                <c:pt idx="5">
                  <c:v>901</c:v>
                </c:pt>
                <c:pt idx="6">
                  <c:v>853</c:v>
                </c:pt>
                <c:pt idx="7">
                  <c:v>845</c:v>
                </c:pt>
                <c:pt idx="8">
                  <c:v>945</c:v>
                </c:pt>
                <c:pt idx="9">
                  <c:v>1062</c:v>
                </c:pt>
                <c:pt idx="10">
                  <c:v>1105</c:v>
                </c:pt>
                <c:pt idx="11">
                  <c:v>1083</c:v>
                </c:pt>
                <c:pt idx="12">
                  <c:v>1362</c:v>
                </c:pt>
                <c:pt idx="13">
                  <c:v>1400</c:v>
                </c:pt>
                <c:pt idx="14">
                  <c:v>1573</c:v>
                </c:pt>
                <c:pt idx="15">
                  <c:v>1679</c:v>
                </c:pt>
                <c:pt idx="16">
                  <c:v>1795</c:v>
                </c:pt>
                <c:pt idx="17">
                  <c:v>1660</c:v>
                </c:pt>
              </c:numCache>
            </c:numRef>
          </c:val>
        </c:ser>
        <c:ser>
          <c:idx val="1"/>
          <c:order val="1"/>
          <c:tx>
            <c:v>hommes</c:v>
          </c:tx>
          <c:invertIfNegative val="0"/>
          <c:cat>
            <c:strRef>
              <c:f>Feuil1!$A$2:$A$19</c:f>
              <c:strCache>
                <c:ptCount val="18"/>
                <c:pt idx="0">
                  <c:v>1996/1997</c:v>
                </c:pt>
                <c:pt idx="1">
                  <c:v>1997/1998</c:v>
                </c:pt>
                <c:pt idx="2">
                  <c:v>1998/1999</c:v>
                </c:pt>
                <c:pt idx="3">
                  <c:v>1999/2000</c:v>
                </c:pt>
                <c:pt idx="4">
                  <c:v>2000/2001</c:v>
                </c:pt>
                <c:pt idx="5">
                  <c:v>2001/2002</c:v>
                </c:pt>
                <c:pt idx="6">
                  <c:v>2002/2003</c:v>
                </c:pt>
                <c:pt idx="7">
                  <c:v>2003/2004</c:v>
                </c:pt>
                <c:pt idx="8">
                  <c:v>2004/2005</c:v>
                </c:pt>
                <c:pt idx="9">
                  <c:v>2005/2006</c:v>
                </c:pt>
                <c:pt idx="10">
                  <c:v>2006/2007</c:v>
                </c:pt>
                <c:pt idx="11">
                  <c:v>2007/2008</c:v>
                </c:pt>
                <c:pt idx="12">
                  <c:v>2008/2009</c:v>
                </c:pt>
                <c:pt idx="13">
                  <c:v>2009/2010</c:v>
                </c:pt>
                <c:pt idx="14">
                  <c:v>2010/2011</c:v>
                </c:pt>
                <c:pt idx="15">
                  <c:v>2011/2012</c:v>
                </c:pt>
                <c:pt idx="16">
                  <c:v>2012/2013</c:v>
                </c:pt>
                <c:pt idx="17">
                  <c:v>2013/2014</c:v>
                </c:pt>
              </c:strCache>
            </c:strRef>
          </c:cat>
          <c:val>
            <c:numRef>
              <c:f>Feuil1!$H$2:$H$19</c:f>
              <c:numCache>
                <c:formatCode>General</c:formatCode>
                <c:ptCount val="18"/>
                <c:pt idx="0">
                  <c:v>246</c:v>
                </c:pt>
                <c:pt idx="1">
                  <c:v>342</c:v>
                </c:pt>
                <c:pt idx="2">
                  <c:v>348</c:v>
                </c:pt>
                <c:pt idx="3">
                  <c:v>394</c:v>
                </c:pt>
                <c:pt idx="4">
                  <c:v>441</c:v>
                </c:pt>
                <c:pt idx="5">
                  <c:v>516</c:v>
                </c:pt>
                <c:pt idx="6">
                  <c:v>492</c:v>
                </c:pt>
                <c:pt idx="7" formatCode="0">
                  <c:v>493</c:v>
                </c:pt>
                <c:pt idx="8" formatCode="0">
                  <c:v>546</c:v>
                </c:pt>
                <c:pt idx="9" formatCode="0">
                  <c:v>619</c:v>
                </c:pt>
                <c:pt idx="10" formatCode="0">
                  <c:v>651</c:v>
                </c:pt>
                <c:pt idx="11" formatCode="0">
                  <c:v>612</c:v>
                </c:pt>
                <c:pt idx="12" formatCode="0">
                  <c:v>813</c:v>
                </c:pt>
                <c:pt idx="13" formatCode="0">
                  <c:v>845</c:v>
                </c:pt>
                <c:pt idx="14" formatCode="0">
                  <c:v>951</c:v>
                </c:pt>
                <c:pt idx="15" formatCode="0">
                  <c:v>999</c:v>
                </c:pt>
                <c:pt idx="16" formatCode="0">
                  <c:v>1145</c:v>
                </c:pt>
                <c:pt idx="17" formatCode="0">
                  <c:v>1041</c:v>
                </c:pt>
              </c:numCache>
            </c:numRef>
          </c:val>
        </c:ser>
        <c:ser>
          <c:idx val="2"/>
          <c:order val="2"/>
          <c:tx>
            <c:v>femmes</c:v>
          </c:tx>
          <c:invertIfNegative val="0"/>
          <c:cat>
            <c:strRef>
              <c:f>Feuil1!$A$2:$A$19</c:f>
              <c:strCache>
                <c:ptCount val="18"/>
                <c:pt idx="0">
                  <c:v>1996/1997</c:v>
                </c:pt>
                <c:pt idx="1">
                  <c:v>1997/1998</c:v>
                </c:pt>
                <c:pt idx="2">
                  <c:v>1998/1999</c:v>
                </c:pt>
                <c:pt idx="3">
                  <c:v>1999/2000</c:v>
                </c:pt>
                <c:pt idx="4">
                  <c:v>2000/2001</c:v>
                </c:pt>
                <c:pt idx="5">
                  <c:v>2001/2002</c:v>
                </c:pt>
                <c:pt idx="6">
                  <c:v>2002/2003</c:v>
                </c:pt>
                <c:pt idx="7">
                  <c:v>2003/2004</c:v>
                </c:pt>
                <c:pt idx="8">
                  <c:v>2004/2005</c:v>
                </c:pt>
                <c:pt idx="9">
                  <c:v>2005/2006</c:v>
                </c:pt>
                <c:pt idx="10">
                  <c:v>2006/2007</c:v>
                </c:pt>
                <c:pt idx="11">
                  <c:v>2007/2008</c:v>
                </c:pt>
                <c:pt idx="12">
                  <c:v>2008/2009</c:v>
                </c:pt>
                <c:pt idx="13">
                  <c:v>2009/2010</c:v>
                </c:pt>
                <c:pt idx="14">
                  <c:v>2010/2011</c:v>
                </c:pt>
                <c:pt idx="15">
                  <c:v>2011/2012</c:v>
                </c:pt>
                <c:pt idx="16">
                  <c:v>2012/2013</c:v>
                </c:pt>
                <c:pt idx="17">
                  <c:v>2013/2014</c:v>
                </c:pt>
              </c:strCache>
            </c:strRef>
          </c:cat>
          <c:val>
            <c:numRef>
              <c:f>Feuil1!$I$2:$I$19</c:f>
              <c:numCache>
                <c:formatCode>General</c:formatCode>
                <c:ptCount val="18"/>
                <c:pt idx="0">
                  <c:v>159</c:v>
                </c:pt>
                <c:pt idx="1">
                  <c:v>238</c:v>
                </c:pt>
                <c:pt idx="2">
                  <c:v>279</c:v>
                </c:pt>
                <c:pt idx="3">
                  <c:v>266</c:v>
                </c:pt>
                <c:pt idx="4">
                  <c:v>314</c:v>
                </c:pt>
                <c:pt idx="5">
                  <c:v>385</c:v>
                </c:pt>
                <c:pt idx="6">
                  <c:v>361</c:v>
                </c:pt>
                <c:pt idx="7" formatCode="0">
                  <c:v>352</c:v>
                </c:pt>
                <c:pt idx="8" formatCode="0">
                  <c:v>399</c:v>
                </c:pt>
                <c:pt idx="9" formatCode="0">
                  <c:v>443</c:v>
                </c:pt>
                <c:pt idx="10" formatCode="0">
                  <c:v>454</c:v>
                </c:pt>
                <c:pt idx="11" formatCode="0">
                  <c:v>471</c:v>
                </c:pt>
                <c:pt idx="12" formatCode="0">
                  <c:v>549</c:v>
                </c:pt>
                <c:pt idx="13" formatCode="0">
                  <c:v>555</c:v>
                </c:pt>
                <c:pt idx="14" formatCode="0">
                  <c:v>622</c:v>
                </c:pt>
                <c:pt idx="15" formatCode="0">
                  <c:v>680</c:v>
                </c:pt>
                <c:pt idx="16" formatCode="0">
                  <c:v>650</c:v>
                </c:pt>
                <c:pt idx="17" formatCode="0">
                  <c:v>592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41262848"/>
        <c:axId val="141264384"/>
        <c:axId val="0"/>
      </c:bar3DChart>
      <c:catAx>
        <c:axId val="1412628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41264384"/>
        <c:crosses val="autoZero"/>
        <c:auto val="1"/>
        <c:lblAlgn val="ctr"/>
        <c:lblOffset val="100"/>
        <c:noMultiLvlLbl val="0"/>
      </c:catAx>
      <c:valAx>
        <c:axId val="1412643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412628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répartition des licenciés par tranche d'âge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total</c:v>
          </c:tx>
          <c:invertIfNegative val="0"/>
          <c:cat>
            <c:strRef>
              <c:f>Feuil1!$A$2:$A$19</c:f>
              <c:strCache>
                <c:ptCount val="18"/>
                <c:pt idx="0">
                  <c:v>1996/1997</c:v>
                </c:pt>
                <c:pt idx="1">
                  <c:v>1997/1998</c:v>
                </c:pt>
                <c:pt idx="2">
                  <c:v>1998/1999</c:v>
                </c:pt>
                <c:pt idx="3">
                  <c:v>1999/2000</c:v>
                </c:pt>
                <c:pt idx="4">
                  <c:v>2000/2001</c:v>
                </c:pt>
                <c:pt idx="5">
                  <c:v>2001/2002</c:v>
                </c:pt>
                <c:pt idx="6">
                  <c:v>2002/2003</c:v>
                </c:pt>
                <c:pt idx="7">
                  <c:v>2003/2004</c:v>
                </c:pt>
                <c:pt idx="8">
                  <c:v>2004/2005</c:v>
                </c:pt>
                <c:pt idx="9">
                  <c:v>2005/2006</c:v>
                </c:pt>
                <c:pt idx="10">
                  <c:v>2006/2007</c:v>
                </c:pt>
                <c:pt idx="11">
                  <c:v>2007/2008</c:v>
                </c:pt>
                <c:pt idx="12">
                  <c:v>2008/2009</c:v>
                </c:pt>
                <c:pt idx="13">
                  <c:v>2009/2010</c:v>
                </c:pt>
                <c:pt idx="14">
                  <c:v>2010/2011</c:v>
                </c:pt>
                <c:pt idx="15">
                  <c:v>2011/2012</c:v>
                </c:pt>
                <c:pt idx="16">
                  <c:v>2012/2013</c:v>
                </c:pt>
                <c:pt idx="17">
                  <c:v>2013/2014</c:v>
                </c:pt>
              </c:strCache>
            </c:strRef>
          </c:cat>
          <c:val>
            <c:numRef>
              <c:f>Feuil1!$B$2:$B$19</c:f>
              <c:numCache>
                <c:formatCode>General</c:formatCode>
                <c:ptCount val="18"/>
                <c:pt idx="0">
                  <c:v>405</c:v>
                </c:pt>
                <c:pt idx="1">
                  <c:v>580</c:v>
                </c:pt>
                <c:pt idx="2">
                  <c:v>627</c:v>
                </c:pt>
                <c:pt idx="3">
                  <c:v>660</c:v>
                </c:pt>
                <c:pt idx="4">
                  <c:v>755</c:v>
                </c:pt>
                <c:pt idx="5">
                  <c:v>901</c:v>
                </c:pt>
                <c:pt idx="6">
                  <c:v>853</c:v>
                </c:pt>
                <c:pt idx="7">
                  <c:v>845</c:v>
                </c:pt>
                <c:pt idx="8">
                  <c:v>945</c:v>
                </c:pt>
                <c:pt idx="9">
                  <c:v>1062</c:v>
                </c:pt>
                <c:pt idx="10">
                  <c:v>1105</c:v>
                </c:pt>
                <c:pt idx="11">
                  <c:v>1083</c:v>
                </c:pt>
                <c:pt idx="12">
                  <c:v>1362</c:v>
                </c:pt>
                <c:pt idx="13">
                  <c:v>1400</c:v>
                </c:pt>
                <c:pt idx="14">
                  <c:v>1573</c:v>
                </c:pt>
                <c:pt idx="15">
                  <c:v>1679</c:v>
                </c:pt>
                <c:pt idx="16">
                  <c:v>1795</c:v>
                </c:pt>
                <c:pt idx="17">
                  <c:v>1660</c:v>
                </c:pt>
              </c:numCache>
            </c:numRef>
          </c:val>
        </c:ser>
        <c:ser>
          <c:idx val="1"/>
          <c:order val="1"/>
          <c:tx>
            <c:v>adultes</c:v>
          </c:tx>
          <c:invertIfNegative val="0"/>
          <c:cat>
            <c:strRef>
              <c:f>Feuil1!$A$2:$A$19</c:f>
              <c:strCache>
                <c:ptCount val="18"/>
                <c:pt idx="0">
                  <c:v>1996/1997</c:v>
                </c:pt>
                <c:pt idx="1">
                  <c:v>1997/1998</c:v>
                </c:pt>
                <c:pt idx="2">
                  <c:v>1998/1999</c:v>
                </c:pt>
                <c:pt idx="3">
                  <c:v>1999/2000</c:v>
                </c:pt>
                <c:pt idx="4">
                  <c:v>2000/2001</c:v>
                </c:pt>
                <c:pt idx="5">
                  <c:v>2001/2002</c:v>
                </c:pt>
                <c:pt idx="6">
                  <c:v>2002/2003</c:v>
                </c:pt>
                <c:pt idx="7">
                  <c:v>2003/2004</c:v>
                </c:pt>
                <c:pt idx="8">
                  <c:v>2004/2005</c:v>
                </c:pt>
                <c:pt idx="9">
                  <c:v>2005/2006</c:v>
                </c:pt>
                <c:pt idx="10">
                  <c:v>2006/2007</c:v>
                </c:pt>
                <c:pt idx="11">
                  <c:v>2007/2008</c:v>
                </c:pt>
                <c:pt idx="12">
                  <c:v>2008/2009</c:v>
                </c:pt>
                <c:pt idx="13">
                  <c:v>2009/2010</c:v>
                </c:pt>
                <c:pt idx="14">
                  <c:v>2010/2011</c:v>
                </c:pt>
                <c:pt idx="15">
                  <c:v>2011/2012</c:v>
                </c:pt>
                <c:pt idx="16">
                  <c:v>2012/2013</c:v>
                </c:pt>
                <c:pt idx="17">
                  <c:v>2013/2014</c:v>
                </c:pt>
              </c:strCache>
            </c:strRef>
          </c:cat>
          <c:val>
            <c:numRef>
              <c:f>Feuil1!$L$2:$L$19</c:f>
              <c:numCache>
                <c:formatCode>General</c:formatCode>
                <c:ptCount val="18"/>
                <c:pt idx="0">
                  <c:v>244</c:v>
                </c:pt>
                <c:pt idx="1">
                  <c:v>340</c:v>
                </c:pt>
                <c:pt idx="2">
                  <c:v>362</c:v>
                </c:pt>
                <c:pt idx="3">
                  <c:v>380</c:v>
                </c:pt>
                <c:pt idx="4">
                  <c:v>449</c:v>
                </c:pt>
                <c:pt idx="5">
                  <c:v>556</c:v>
                </c:pt>
                <c:pt idx="6">
                  <c:v>524</c:v>
                </c:pt>
                <c:pt idx="7">
                  <c:v>505</c:v>
                </c:pt>
                <c:pt idx="8">
                  <c:v>593</c:v>
                </c:pt>
                <c:pt idx="9">
                  <c:v>650</c:v>
                </c:pt>
                <c:pt idx="10">
                  <c:v>668</c:v>
                </c:pt>
                <c:pt idx="11">
                  <c:v>670</c:v>
                </c:pt>
                <c:pt idx="12">
                  <c:v>875</c:v>
                </c:pt>
                <c:pt idx="13">
                  <c:v>909</c:v>
                </c:pt>
                <c:pt idx="14">
                  <c:v>1072</c:v>
                </c:pt>
                <c:pt idx="15">
                  <c:v>1135</c:v>
                </c:pt>
                <c:pt idx="16">
                  <c:v>1171</c:v>
                </c:pt>
                <c:pt idx="17">
                  <c:v>1060</c:v>
                </c:pt>
              </c:numCache>
            </c:numRef>
          </c:val>
        </c:ser>
        <c:ser>
          <c:idx val="2"/>
          <c:order val="2"/>
          <c:tx>
            <c:v>jeunes</c:v>
          </c:tx>
          <c:invertIfNegative val="0"/>
          <c:cat>
            <c:strRef>
              <c:f>Feuil1!$A$2:$A$19</c:f>
              <c:strCache>
                <c:ptCount val="18"/>
                <c:pt idx="0">
                  <c:v>1996/1997</c:v>
                </c:pt>
                <c:pt idx="1">
                  <c:v>1997/1998</c:v>
                </c:pt>
                <c:pt idx="2">
                  <c:v>1998/1999</c:v>
                </c:pt>
                <c:pt idx="3">
                  <c:v>1999/2000</c:v>
                </c:pt>
                <c:pt idx="4">
                  <c:v>2000/2001</c:v>
                </c:pt>
                <c:pt idx="5">
                  <c:v>2001/2002</c:v>
                </c:pt>
                <c:pt idx="6">
                  <c:v>2002/2003</c:v>
                </c:pt>
                <c:pt idx="7">
                  <c:v>2003/2004</c:v>
                </c:pt>
                <c:pt idx="8">
                  <c:v>2004/2005</c:v>
                </c:pt>
                <c:pt idx="9">
                  <c:v>2005/2006</c:v>
                </c:pt>
                <c:pt idx="10">
                  <c:v>2006/2007</c:v>
                </c:pt>
                <c:pt idx="11">
                  <c:v>2007/2008</c:v>
                </c:pt>
                <c:pt idx="12">
                  <c:v>2008/2009</c:v>
                </c:pt>
                <c:pt idx="13">
                  <c:v>2009/2010</c:v>
                </c:pt>
                <c:pt idx="14">
                  <c:v>2010/2011</c:v>
                </c:pt>
                <c:pt idx="15">
                  <c:v>2011/2012</c:v>
                </c:pt>
                <c:pt idx="16">
                  <c:v>2012/2013</c:v>
                </c:pt>
                <c:pt idx="17">
                  <c:v>2013/2014</c:v>
                </c:pt>
              </c:strCache>
            </c:strRef>
          </c:cat>
          <c:val>
            <c:numRef>
              <c:f>Feuil1!$M$2:$M$19</c:f>
              <c:numCache>
                <c:formatCode>General</c:formatCode>
                <c:ptCount val="18"/>
                <c:pt idx="0">
                  <c:v>161</c:v>
                </c:pt>
                <c:pt idx="1">
                  <c:v>240</c:v>
                </c:pt>
                <c:pt idx="2">
                  <c:v>265</c:v>
                </c:pt>
                <c:pt idx="3">
                  <c:v>280</c:v>
                </c:pt>
                <c:pt idx="4">
                  <c:v>306</c:v>
                </c:pt>
                <c:pt idx="5">
                  <c:v>346</c:v>
                </c:pt>
                <c:pt idx="6">
                  <c:v>329</c:v>
                </c:pt>
                <c:pt idx="7">
                  <c:v>340</c:v>
                </c:pt>
                <c:pt idx="8">
                  <c:v>352</c:v>
                </c:pt>
                <c:pt idx="9">
                  <c:v>412</c:v>
                </c:pt>
                <c:pt idx="10">
                  <c:v>437</c:v>
                </c:pt>
                <c:pt idx="11">
                  <c:v>413</c:v>
                </c:pt>
                <c:pt idx="12">
                  <c:v>487</c:v>
                </c:pt>
                <c:pt idx="13">
                  <c:v>491</c:v>
                </c:pt>
                <c:pt idx="14">
                  <c:v>474</c:v>
                </c:pt>
                <c:pt idx="15">
                  <c:v>491</c:v>
                </c:pt>
                <c:pt idx="16">
                  <c:v>554</c:v>
                </c:pt>
                <c:pt idx="17" formatCode="0">
                  <c:v>600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63364224"/>
        <c:axId val="168183296"/>
        <c:axId val="0"/>
      </c:bar3DChart>
      <c:catAx>
        <c:axId val="163364224"/>
        <c:scaling>
          <c:orientation val="minMax"/>
        </c:scaling>
        <c:delete val="0"/>
        <c:axPos val="b"/>
        <c:majorTickMark val="none"/>
        <c:minorTickMark val="none"/>
        <c:tickLblPos val="nextTo"/>
        <c:crossAx val="168183296"/>
        <c:crosses val="autoZero"/>
        <c:auto val="1"/>
        <c:lblAlgn val="ctr"/>
        <c:lblOffset val="100"/>
        <c:noMultiLvlLbl val="0"/>
      </c:catAx>
      <c:valAx>
        <c:axId val="1681832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633642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répartition</a:t>
            </a:r>
            <a:r>
              <a:rPr lang="fr-FR" baseline="0"/>
              <a:t> des lienciés par type de pratique</a:t>
            </a:r>
            <a:endParaRPr lang="fr-FR"/>
          </a:p>
        </c:rich>
      </c:tx>
      <c:layout>
        <c:manualLayout>
          <c:xMode val="edge"/>
          <c:yMode val="edge"/>
          <c:x val="0.1305415573053368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15507436570428"/>
          <c:y val="0.22709499854184895"/>
          <c:w val="0.86928937007874019"/>
          <c:h val="0.47212051618547679"/>
        </c:manualLayout>
      </c:layout>
      <c:bar3DChart>
        <c:barDir val="col"/>
        <c:grouping val="clustered"/>
        <c:varyColors val="0"/>
        <c:ser>
          <c:idx val="0"/>
          <c:order val="0"/>
          <c:tx>
            <c:v>compétiteurs</c:v>
          </c:tx>
          <c:invertIfNegative val="0"/>
          <c:cat>
            <c:strRef>
              <c:f>Feuil1!$A$12:$A$19</c:f>
              <c:strCache>
                <c:ptCount val="8"/>
                <c:pt idx="0">
                  <c:v>2006/2007</c:v>
                </c:pt>
                <c:pt idx="1">
                  <c:v>2007/2008</c:v>
                </c:pt>
                <c:pt idx="2">
                  <c:v>2008/2009</c:v>
                </c:pt>
                <c:pt idx="3">
                  <c:v>2009/2010</c:v>
                </c:pt>
                <c:pt idx="4">
                  <c:v>2010/2011</c:v>
                </c:pt>
                <c:pt idx="5">
                  <c:v>2011/2012</c:v>
                </c:pt>
                <c:pt idx="6">
                  <c:v>2012/2013</c:v>
                </c:pt>
                <c:pt idx="7">
                  <c:v>2013/2014</c:v>
                </c:pt>
              </c:strCache>
            </c:strRef>
          </c:cat>
          <c:val>
            <c:numRef>
              <c:f>Feuil1!$O$12:$O$19</c:f>
              <c:numCache>
                <c:formatCode>0</c:formatCode>
                <c:ptCount val="8"/>
                <c:pt idx="0">
                  <c:v>380</c:v>
                </c:pt>
                <c:pt idx="1">
                  <c:v>388</c:v>
                </c:pt>
                <c:pt idx="2">
                  <c:v>441</c:v>
                </c:pt>
                <c:pt idx="3" formatCode="General">
                  <c:v>448</c:v>
                </c:pt>
                <c:pt idx="4">
                  <c:v>464</c:v>
                </c:pt>
                <c:pt idx="5">
                  <c:v>508</c:v>
                </c:pt>
                <c:pt idx="6">
                  <c:v>523</c:v>
                </c:pt>
                <c:pt idx="7">
                  <c:v>497</c:v>
                </c:pt>
              </c:numCache>
            </c:numRef>
          </c:val>
        </c:ser>
        <c:ser>
          <c:idx val="1"/>
          <c:order val="1"/>
          <c:tx>
            <c:v>loisirs</c:v>
          </c:tx>
          <c:invertIfNegative val="0"/>
          <c:cat>
            <c:strRef>
              <c:f>Feuil1!$A$12:$A$19</c:f>
              <c:strCache>
                <c:ptCount val="8"/>
                <c:pt idx="0">
                  <c:v>2006/2007</c:v>
                </c:pt>
                <c:pt idx="1">
                  <c:v>2007/2008</c:v>
                </c:pt>
                <c:pt idx="2">
                  <c:v>2008/2009</c:v>
                </c:pt>
                <c:pt idx="3">
                  <c:v>2009/2010</c:v>
                </c:pt>
                <c:pt idx="4">
                  <c:v>2010/2011</c:v>
                </c:pt>
                <c:pt idx="5">
                  <c:v>2011/2012</c:v>
                </c:pt>
                <c:pt idx="6">
                  <c:v>2012/2013</c:v>
                </c:pt>
                <c:pt idx="7">
                  <c:v>2013/2014</c:v>
                </c:pt>
              </c:strCache>
            </c:strRef>
          </c:cat>
          <c:val>
            <c:numRef>
              <c:f>Feuil1!$P$12:$P$19</c:f>
              <c:numCache>
                <c:formatCode>0</c:formatCode>
                <c:ptCount val="8"/>
                <c:pt idx="0">
                  <c:v>725</c:v>
                </c:pt>
                <c:pt idx="1">
                  <c:v>695</c:v>
                </c:pt>
                <c:pt idx="2">
                  <c:v>921</c:v>
                </c:pt>
                <c:pt idx="3">
                  <c:v>952</c:v>
                </c:pt>
                <c:pt idx="4">
                  <c:v>1109</c:v>
                </c:pt>
                <c:pt idx="5">
                  <c:v>1171</c:v>
                </c:pt>
                <c:pt idx="6">
                  <c:v>1272</c:v>
                </c:pt>
                <c:pt idx="7">
                  <c:v>1163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41236864"/>
        <c:axId val="141246848"/>
        <c:axId val="0"/>
      </c:bar3DChart>
      <c:catAx>
        <c:axId val="1412368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41246848"/>
        <c:crosses val="autoZero"/>
        <c:auto val="1"/>
        <c:lblAlgn val="ctr"/>
        <c:lblOffset val="100"/>
        <c:noMultiLvlLbl val="0"/>
      </c:catAx>
      <c:valAx>
        <c:axId val="141246848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crossAx val="1412368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3370100612423448"/>
          <c:y val="0.90702354913969085"/>
          <c:w val="0.33259798775153104"/>
          <c:h val="8.371719160104987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</dc:creator>
  <cp:lastModifiedBy>Antoine</cp:lastModifiedBy>
  <cp:revision>1</cp:revision>
  <cp:lastPrinted>2014-09-08T09:45:00Z</cp:lastPrinted>
  <dcterms:created xsi:type="dcterms:W3CDTF">2014-09-08T09:36:00Z</dcterms:created>
  <dcterms:modified xsi:type="dcterms:W3CDTF">2014-09-08T09:46:00Z</dcterms:modified>
</cp:coreProperties>
</file>